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D5EBF" w14:textId="77777777"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14:paraId="08E8C37F" w14:textId="77777777" w:rsidR="005E6A45" w:rsidRDefault="005E6A45" w:rsidP="00F34BF5">
      <w:pPr>
        <w:jc w:val="center"/>
        <w:rPr>
          <w:b/>
        </w:rPr>
      </w:pPr>
    </w:p>
    <w:p w14:paraId="7D70765C" w14:textId="5F2BA428" w:rsidR="004529AD" w:rsidRPr="008B7075" w:rsidRDefault="009A32CA" w:rsidP="008B707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  <w:r w:rsidR="00F9654B">
        <w:rPr>
          <w:rFonts w:eastAsia="Times New Roman"/>
          <w:b/>
        </w:rPr>
        <w:t xml:space="preserve"> </w:t>
      </w:r>
    </w:p>
    <w:tbl>
      <w:tblPr>
        <w:tblW w:w="151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1381"/>
        <w:gridCol w:w="834"/>
        <w:gridCol w:w="2709"/>
        <w:gridCol w:w="2268"/>
        <w:gridCol w:w="834"/>
        <w:gridCol w:w="2143"/>
        <w:gridCol w:w="1134"/>
        <w:gridCol w:w="8"/>
        <w:gridCol w:w="1632"/>
        <w:gridCol w:w="8"/>
      </w:tblGrid>
      <w:tr w:rsidR="001B3FF9" w:rsidRPr="004529AD" w14:paraId="03AE85C2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5E79B3C3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6144" w:type="dxa"/>
            <w:gridSpan w:val="4"/>
          </w:tcPr>
          <w:p w14:paraId="55A4AFB7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  <w:p w14:paraId="0FA57B3B" w14:textId="06F577CF" w:rsidR="001B3FF9" w:rsidRPr="00B83638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/>
              </w:rPr>
            </w:pPr>
          </w:p>
        </w:tc>
        <w:tc>
          <w:tcPr>
            <w:tcW w:w="2268" w:type="dxa"/>
          </w:tcPr>
          <w:p w14:paraId="589345B6" w14:textId="289636EB" w:rsidR="001B3FF9" w:rsidRPr="001B3FF9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val="en-US" w:eastAsia="ru-RU"/>
              </w:rPr>
            </w:pPr>
            <w:r>
              <w:rPr>
                <w:rFonts w:eastAsia="Times New Roman" w:cs="Tahoma"/>
              </w:rPr>
              <w:t>Серийный</w:t>
            </w:r>
            <w:r w:rsidRPr="002C7828">
              <w:rPr>
                <w:rFonts w:eastAsia="Times New Roman" w:cs="Tahoma"/>
                <w:lang w:val="en-US"/>
              </w:rPr>
              <w:t xml:space="preserve"> </w:t>
            </w:r>
            <w:r>
              <w:rPr>
                <w:rFonts w:eastAsia="Times New Roman" w:cs="Tahoma"/>
              </w:rPr>
              <w:t>номер</w:t>
            </w:r>
            <w:r>
              <w:rPr>
                <w:rFonts w:eastAsia="Times New Roman" w:cs="Tahoma"/>
                <w:lang w:val="en-US"/>
              </w:rPr>
              <w:t xml:space="preserve"> </w:t>
            </w:r>
            <w:r w:rsidRPr="008E3B9B">
              <w:rPr>
                <w:rFonts w:eastAsia="Times New Roman" w:cs="Tahoma"/>
                <w:bCs/>
                <w:color w:val="000000"/>
              </w:rPr>
              <w:t>ПАК</w:t>
            </w:r>
            <w:r w:rsidRPr="002C7828">
              <w:rPr>
                <w:rFonts w:eastAsia="Times New Roman" w:cs="Tahoma"/>
                <w:bCs/>
                <w:color w:val="000000"/>
                <w:lang w:val="en-US"/>
              </w:rPr>
              <w:t xml:space="preserve"> </w:t>
            </w:r>
            <w:proofErr w:type="spellStart"/>
            <w:r w:rsidRPr="002C7828">
              <w:rPr>
                <w:rFonts w:eastAsia="Times New Roman" w:cs="Tahoma"/>
                <w:bCs/>
                <w:color w:val="000000"/>
                <w:lang w:val="en-US"/>
              </w:rPr>
              <w:t>ViPNet</w:t>
            </w:r>
            <w:proofErr w:type="spellEnd"/>
            <w:r w:rsidRPr="002C7828">
              <w:rPr>
                <w:rFonts w:eastAsia="Times New Roman" w:cs="Tahoma"/>
                <w:bCs/>
                <w:color w:val="000000"/>
                <w:lang w:val="en-US"/>
              </w:rPr>
              <w:t xml:space="preserve"> Coordinator</w:t>
            </w:r>
          </w:p>
        </w:tc>
        <w:tc>
          <w:tcPr>
            <w:tcW w:w="834" w:type="dxa"/>
          </w:tcPr>
          <w:p w14:paraId="5A75484B" w14:textId="28156A14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2143" w:type="dxa"/>
          </w:tcPr>
          <w:p w14:paraId="6063587C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4529AD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1134" w:type="dxa"/>
          </w:tcPr>
          <w:p w14:paraId="5E4674D2" w14:textId="77777777" w:rsidR="001B3FF9" w:rsidRPr="004529AD" w:rsidRDefault="001B3FF9" w:rsidP="004529AD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14:paraId="4FFC8C15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14:paraId="2696DBC5" w14:textId="77777777" w:rsidR="001B3FF9" w:rsidRPr="004529AD" w:rsidRDefault="001B3FF9" w:rsidP="004529AD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1640" w:type="dxa"/>
            <w:gridSpan w:val="2"/>
          </w:tcPr>
          <w:p w14:paraId="0479DBC1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14:paraId="51F01DA8" w14:textId="77777777" w:rsidR="001B3FF9" w:rsidRPr="004529AD" w:rsidRDefault="001B3FF9" w:rsidP="004529AD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Pr="004529AD">
              <w:rPr>
                <w:rFonts w:eastAsia="Times New Roman" w:cs="Tahoma"/>
                <w:bCs/>
                <w:lang w:eastAsia="ru-RU"/>
              </w:rPr>
              <w:t xml:space="preserve">. </w:t>
            </w:r>
          </w:p>
        </w:tc>
      </w:tr>
      <w:tr w:rsidR="001B3FF9" w:rsidRPr="004529AD" w14:paraId="556BF381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  <w:hideMark/>
          </w:tcPr>
          <w:p w14:paraId="594E2124" w14:textId="77777777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</w:p>
          <w:p w14:paraId="255A4EBA" w14:textId="77777777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 w:rsidRPr="004529AD">
              <w:rPr>
                <w:rFonts w:eastAsia="Times New Roman" w:cs="Tahoma"/>
              </w:rPr>
              <w:t>1</w:t>
            </w:r>
          </w:p>
        </w:tc>
        <w:tc>
          <w:tcPr>
            <w:tcW w:w="6144" w:type="dxa"/>
            <w:gridSpan w:val="4"/>
          </w:tcPr>
          <w:p w14:paraId="67ADF02B" w14:textId="00B187D6" w:rsidR="001B3FF9" w:rsidRPr="00714A41" w:rsidRDefault="001B3FF9" w:rsidP="001B3FF9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4529AD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3067EC54" w14:textId="5CFA9E43" w:rsidR="001B3FF9" w:rsidRP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  <w:r>
              <w:rPr>
                <w:rFonts w:eastAsia="Times New Roman" w:cs="Tahoma"/>
                <w:bCs/>
                <w:color w:val="000000"/>
              </w:rPr>
              <w:t>032-02772</w:t>
            </w:r>
          </w:p>
        </w:tc>
        <w:tc>
          <w:tcPr>
            <w:tcW w:w="834" w:type="dxa"/>
          </w:tcPr>
          <w:p w14:paraId="16E39B15" w14:textId="24E64168" w:rsidR="001B3FF9" w:rsidRP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</w:p>
          <w:p w14:paraId="34C138F7" w14:textId="77777777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73B32861" w14:textId="77777777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  <w:tc>
          <w:tcPr>
            <w:tcW w:w="1134" w:type="dxa"/>
          </w:tcPr>
          <w:p w14:paraId="3B210A79" w14:textId="4DE4E600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7D9B99E5" w14:textId="52173079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 xml:space="preserve"> 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</w:tr>
      <w:tr w:rsidR="001B3FF9" w:rsidRPr="004529AD" w14:paraId="344B4CA8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7F44A3DF" w14:textId="4DADE1B8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2</w:t>
            </w:r>
          </w:p>
        </w:tc>
        <w:tc>
          <w:tcPr>
            <w:tcW w:w="6144" w:type="dxa"/>
            <w:gridSpan w:val="4"/>
          </w:tcPr>
          <w:p w14:paraId="074F9F5F" w14:textId="7711AA14" w:rsidR="001B3FF9" w:rsidRPr="004529AD" w:rsidRDefault="001B3FF9" w:rsidP="001B3FF9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4529AD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14A1AEA5" w14:textId="15965499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032-02773</w:t>
            </w:r>
          </w:p>
        </w:tc>
        <w:tc>
          <w:tcPr>
            <w:tcW w:w="834" w:type="dxa"/>
          </w:tcPr>
          <w:p w14:paraId="2E285851" w14:textId="77777777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19B5AD16" w14:textId="5CD0EB26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69BDE0DC" w14:textId="55D9F4D5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  <w:tc>
          <w:tcPr>
            <w:tcW w:w="1134" w:type="dxa"/>
          </w:tcPr>
          <w:p w14:paraId="346836C8" w14:textId="25927C07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1D0A6ED9" w14:textId="7FACDA8D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 xml:space="preserve"> 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</w:tr>
      <w:tr w:rsidR="001B3FF9" w:rsidRPr="004529AD" w14:paraId="76BE64CB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57FB480F" w14:textId="22B922DE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3</w:t>
            </w:r>
          </w:p>
        </w:tc>
        <w:tc>
          <w:tcPr>
            <w:tcW w:w="6144" w:type="dxa"/>
            <w:gridSpan w:val="4"/>
          </w:tcPr>
          <w:p w14:paraId="5E084722" w14:textId="12BBE909" w:rsidR="001B3FF9" w:rsidRPr="004529AD" w:rsidRDefault="001B3FF9" w:rsidP="001B3FF9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4529AD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7E9DBB77" w14:textId="43382668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032-02771</w:t>
            </w:r>
          </w:p>
        </w:tc>
        <w:tc>
          <w:tcPr>
            <w:tcW w:w="834" w:type="dxa"/>
          </w:tcPr>
          <w:p w14:paraId="440D357C" w14:textId="77777777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042DB573" w14:textId="49C9A2B3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6896C1EF" w14:textId="57737FE6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  <w:tc>
          <w:tcPr>
            <w:tcW w:w="1134" w:type="dxa"/>
          </w:tcPr>
          <w:p w14:paraId="7A9AE0C3" w14:textId="04FE705A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22AD8B1C" w14:textId="3028DF59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 xml:space="preserve"> 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</w:tr>
      <w:tr w:rsidR="001B3FF9" w:rsidRPr="004529AD" w14:paraId="3E0BBF09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513CA898" w14:textId="337B5C04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4</w:t>
            </w:r>
          </w:p>
        </w:tc>
        <w:tc>
          <w:tcPr>
            <w:tcW w:w="6144" w:type="dxa"/>
            <w:gridSpan w:val="4"/>
          </w:tcPr>
          <w:p w14:paraId="1F1CAB28" w14:textId="4D9F5017" w:rsidR="001B3FF9" w:rsidRPr="004529AD" w:rsidRDefault="001B3FF9" w:rsidP="001B3FF9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1B3FF9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29DEF280" w14:textId="5C263FCB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032-02775</w:t>
            </w:r>
          </w:p>
        </w:tc>
        <w:tc>
          <w:tcPr>
            <w:tcW w:w="834" w:type="dxa"/>
          </w:tcPr>
          <w:p w14:paraId="6556EDC4" w14:textId="77777777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6909F196" w14:textId="52EC6AD8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3D860692" w14:textId="52CBB6DC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  <w:tc>
          <w:tcPr>
            <w:tcW w:w="1134" w:type="dxa"/>
          </w:tcPr>
          <w:p w14:paraId="59B6EB46" w14:textId="6C330051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596CCD45" w14:textId="7BA020ED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 xml:space="preserve"> 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</w:tr>
      <w:tr w:rsidR="001B3FF9" w:rsidRPr="004529AD" w14:paraId="4BF0993D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7C74EF98" w14:textId="1E85D63A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5</w:t>
            </w:r>
          </w:p>
        </w:tc>
        <w:tc>
          <w:tcPr>
            <w:tcW w:w="6144" w:type="dxa"/>
            <w:gridSpan w:val="4"/>
          </w:tcPr>
          <w:p w14:paraId="2D1898B3" w14:textId="600B117D" w:rsidR="001B3FF9" w:rsidRPr="004529AD" w:rsidRDefault="001B3FF9" w:rsidP="001B3FF9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1B3FF9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23A6D5E2" w14:textId="426A2AAF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032-02774</w:t>
            </w:r>
          </w:p>
        </w:tc>
        <w:tc>
          <w:tcPr>
            <w:tcW w:w="834" w:type="dxa"/>
          </w:tcPr>
          <w:p w14:paraId="5EC0EBFE" w14:textId="77777777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5268042F" w14:textId="2A2A67AF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7B756B0B" w14:textId="37D87A71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  <w:tc>
          <w:tcPr>
            <w:tcW w:w="1134" w:type="dxa"/>
          </w:tcPr>
          <w:p w14:paraId="62987B62" w14:textId="06DE210A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0EC23825" w14:textId="12A623E6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 xml:space="preserve"> 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</w:tr>
      <w:tr w:rsidR="001B3FF9" w:rsidRPr="004529AD" w14:paraId="35D42E57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0FA2C9F4" w14:textId="0F784192" w:rsidR="001B3FF9" w:rsidRPr="004529AD" w:rsidRDefault="001B3FF9" w:rsidP="001B3FF9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6</w:t>
            </w:r>
          </w:p>
        </w:tc>
        <w:tc>
          <w:tcPr>
            <w:tcW w:w="6144" w:type="dxa"/>
            <w:gridSpan w:val="4"/>
          </w:tcPr>
          <w:p w14:paraId="732A5029" w14:textId="01F3A2D1" w:rsidR="001B3FF9" w:rsidRPr="004529AD" w:rsidRDefault="001B3FF9" w:rsidP="001B3FF9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1B3FF9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3952206B" w14:textId="1FC5067D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032-02770</w:t>
            </w:r>
          </w:p>
        </w:tc>
        <w:tc>
          <w:tcPr>
            <w:tcW w:w="834" w:type="dxa"/>
          </w:tcPr>
          <w:p w14:paraId="6276752D" w14:textId="77777777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1EB27586" w14:textId="757A21CD" w:rsidR="001B3FF9" w:rsidRPr="004529AD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3F53688D" w14:textId="696FA93C" w:rsidR="001B3FF9" w:rsidRPr="004529AD" w:rsidRDefault="001B3FF9" w:rsidP="001B3FF9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  <w:tc>
          <w:tcPr>
            <w:tcW w:w="1134" w:type="dxa"/>
          </w:tcPr>
          <w:p w14:paraId="7DDEBF03" w14:textId="7BBC550F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6552D577" w14:textId="031820BB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 xml:space="preserve"> 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281</w:t>
            </w:r>
            <w:r w:rsidRPr="004529AD">
              <w:rPr>
                <w:rFonts w:eastAsia="Times New Roman" w:cs="Tahoma"/>
                <w:color w:val="000000"/>
                <w:lang w:val="en-US" w:eastAsia="ru-RU"/>
              </w:rPr>
              <w:t> </w:t>
            </w:r>
            <w:r w:rsidRPr="004529AD">
              <w:rPr>
                <w:rFonts w:eastAsia="Times New Roman" w:cs="Tahoma"/>
                <w:color w:val="000000"/>
                <w:lang w:eastAsia="ru-RU"/>
              </w:rPr>
              <w:t>595,00</w:t>
            </w:r>
          </w:p>
        </w:tc>
      </w:tr>
      <w:tr w:rsidR="001B3FF9" w:rsidRPr="004529AD" w14:paraId="54371458" w14:textId="5E76E32B" w:rsidTr="008B7075">
        <w:tc>
          <w:tcPr>
            <w:tcW w:w="13475" w:type="dxa"/>
            <w:gridSpan w:val="11"/>
            <w:noWrap/>
          </w:tcPr>
          <w:p w14:paraId="076A35BD" w14:textId="34278E35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ИТОГО:</w:t>
            </w:r>
          </w:p>
        </w:tc>
        <w:tc>
          <w:tcPr>
            <w:tcW w:w="1640" w:type="dxa"/>
            <w:gridSpan w:val="2"/>
          </w:tcPr>
          <w:p w14:paraId="6E14A37E" w14:textId="77777777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>1 689 570,00</w:t>
            </w:r>
          </w:p>
          <w:p w14:paraId="109C38AE" w14:textId="68B7CBDC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</w:p>
        </w:tc>
      </w:tr>
      <w:tr w:rsidR="001B3FF9" w:rsidRPr="004529AD" w14:paraId="4DD5AEE1" w14:textId="1DE2192D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C8026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6E7D092B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5EC91D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72C5C872" w14:textId="5FA3AB50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4B56D78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6F3581E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4EFFD7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18D693BA" w14:textId="25DBC388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4B2763A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D6E3AE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AE8F133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bookmarkStart w:id="0" w:name="_GoBack"/>
        <w:bookmarkEnd w:id="0"/>
      </w:tr>
      <w:tr w:rsidR="001B3FF9" w:rsidRPr="004529AD" w14:paraId="46AD8BF2" w14:textId="557A2597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89278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73BD77E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A00F9A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25026071" w14:textId="22758549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FB6A4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3A27D42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186F54C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DB575B3" w14:textId="017D2BCC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2A4921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E84F4F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A05D3A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3DA4CAA5" w14:textId="0C957D65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99CE9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2B963CBC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DF854D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6627AA7" w14:textId="1ADAE0EC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9A5A1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B7EB13E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9F36F0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D7D9C80" w14:textId="6AF79A0A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47F38F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A57986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7DD4F7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03B62DBF" w14:textId="403D8BC6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ED6D8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7B4F20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4281016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2651E70D" w14:textId="5FFDD7B5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BB3A3C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7EB5FA5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849320B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CCE99FA" w14:textId="1B118A11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61AA6F3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7838D41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AEA7F4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14:paraId="19A2DC1C" w14:textId="77777777" w:rsidR="004529AD" w:rsidRPr="004529AD" w:rsidRDefault="004529AD" w:rsidP="004529AD">
      <w:pPr>
        <w:tabs>
          <w:tab w:val="left" w:pos="1494"/>
        </w:tabs>
        <w:rPr>
          <w:rFonts w:eastAsia="Times New Roman"/>
        </w:rPr>
      </w:pPr>
    </w:p>
    <w:p w14:paraId="17E2E701" w14:textId="77777777"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822C0" w14:textId="77777777" w:rsidR="00F42596" w:rsidRDefault="00F42596" w:rsidP="009A32CA">
      <w:pPr>
        <w:spacing w:after="0" w:line="240" w:lineRule="auto"/>
      </w:pPr>
      <w:r>
        <w:separator/>
      </w:r>
    </w:p>
  </w:endnote>
  <w:endnote w:type="continuationSeparator" w:id="0">
    <w:p w14:paraId="246321A3" w14:textId="77777777" w:rsidR="00F42596" w:rsidRDefault="00F4259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CC4A" w14:textId="77777777" w:rsidR="00F42596" w:rsidRDefault="00F42596" w:rsidP="009A32CA">
      <w:pPr>
        <w:spacing w:after="0" w:line="240" w:lineRule="auto"/>
      </w:pPr>
      <w:r>
        <w:separator/>
      </w:r>
    </w:p>
  </w:footnote>
  <w:footnote w:type="continuationSeparator" w:id="0">
    <w:p w14:paraId="4043E5CA" w14:textId="77777777" w:rsidR="00F42596" w:rsidRDefault="00F42596" w:rsidP="009A32CA">
      <w:pPr>
        <w:spacing w:after="0" w:line="240" w:lineRule="auto"/>
      </w:pPr>
      <w:r>
        <w:continuationSeparator/>
      </w:r>
    </w:p>
  </w:footnote>
  <w:footnote w:id="1">
    <w:p w14:paraId="4CDB01C1" w14:textId="77777777" w:rsidR="001B3FF9" w:rsidRDefault="001B3FF9" w:rsidP="004529AD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</w:t>
      </w:r>
      <w:r w:rsidRPr="00292F2C">
        <w:t>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3FF9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585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29AD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1DD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1608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DAE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4A41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46F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1D26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075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5E7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5D2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21B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3638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2C3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78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2596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654B"/>
    <w:rsid w:val="00F9760C"/>
    <w:rsid w:val="00FA0E99"/>
    <w:rsid w:val="00FA1C2B"/>
    <w:rsid w:val="00FA1D55"/>
    <w:rsid w:val="00FA4324"/>
    <w:rsid w:val="00FA4496"/>
    <w:rsid w:val="00FA5076"/>
    <w:rsid w:val="00FA587A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014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character" w:styleId="a8">
    <w:name w:val="annotation reference"/>
    <w:basedOn w:val="a0"/>
    <w:uiPriority w:val="99"/>
    <w:semiHidden/>
    <w:unhideWhenUsed/>
    <w:rsid w:val="002F358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F3585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2F3585"/>
    <w:rPr>
      <w:rFonts w:ascii="Tahoma" w:hAnsi="Tahoma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F358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F3585"/>
    <w:rPr>
      <w:rFonts w:ascii="Tahoma" w:hAnsi="Tahoma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F3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F3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F1F5F-1DA1-4CCC-BFDF-4D7CF3E73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29</cp:revision>
  <dcterms:created xsi:type="dcterms:W3CDTF">2025-02-10T06:57:00Z</dcterms:created>
  <dcterms:modified xsi:type="dcterms:W3CDTF">2025-09-30T11:35:00Z</dcterms:modified>
</cp:coreProperties>
</file>